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31" w:rsidRDefault="009F1F31" w:rsidP="009F1F31">
      <w:pPr>
        <w:pStyle w:val="NoSpacing"/>
        <w:rPr>
          <w:rFonts w:ascii="Arial Black" w:hAnsi="Arial Black"/>
          <w:sz w:val="24"/>
          <w:szCs w:val="24"/>
          <w:lang w:val="en-CA"/>
        </w:rPr>
      </w:pPr>
      <w:r w:rsidRPr="009F1F31">
        <w:rPr>
          <w:rFonts w:ascii="Arial Black" w:hAnsi="Arial Black"/>
          <w:sz w:val="24"/>
          <w:szCs w:val="24"/>
          <w:lang w:val="en-CA"/>
        </w:rPr>
        <w:t>Results of the 2022 Turtle Tally on Jack Lake</w:t>
      </w:r>
    </w:p>
    <w:p w:rsidR="009F1F31" w:rsidRPr="009F1F31" w:rsidRDefault="009F1F31" w:rsidP="009F1F31">
      <w:pPr>
        <w:pStyle w:val="NoSpacing"/>
        <w:rPr>
          <w:rFonts w:ascii="Arial Black" w:hAnsi="Arial Black"/>
          <w:sz w:val="24"/>
          <w:szCs w:val="24"/>
          <w:lang w:val="en-CA"/>
        </w:rPr>
      </w:pPr>
      <w:r>
        <w:rPr>
          <w:rFonts w:ascii="Arial Black" w:hAnsi="Arial Black"/>
          <w:sz w:val="24"/>
          <w:szCs w:val="24"/>
          <w:lang w:val="en-CA"/>
        </w:rPr>
        <w:t>By Steven J. Kerr.</w:t>
      </w:r>
    </w:p>
    <w:p w:rsidR="009F1F31" w:rsidRDefault="009F1F31" w:rsidP="009F1F31">
      <w:pPr>
        <w:pStyle w:val="NoSpacing"/>
        <w:rPr>
          <w:noProof/>
        </w:rPr>
      </w:pPr>
    </w:p>
    <w:p w:rsidR="009F1F31" w:rsidRDefault="009F1F31" w:rsidP="009F1F31">
      <w:pPr>
        <w:pStyle w:val="NoSpacing"/>
        <w:rPr>
          <w:noProof/>
        </w:rPr>
      </w:pPr>
    </w:p>
    <w:p w:rsidR="009F1F31" w:rsidRDefault="009F1F31" w:rsidP="009F1F31">
      <w:pPr>
        <w:pStyle w:val="NoSpacing"/>
        <w:keepNext/>
      </w:pPr>
      <w:r>
        <w:rPr>
          <w:noProof/>
        </w:rPr>
        <w:drawing>
          <wp:inline distT="0" distB="0" distL="0" distR="0" wp14:anchorId="50BEA14F" wp14:editId="3C3F334F">
            <wp:extent cx="3845135" cy="2873209"/>
            <wp:effectExtent l="19050" t="0" r="2965" b="0"/>
            <wp:docPr id="2" name="Picture 1" descr="https://www.dec.ny.gov/images/wildlife_images/ebvonlinden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c.ny.gov/images/wildlife_images/ebvonlinden1sm.jpg"/>
                    <pic:cNvPicPr>
                      <a:picLocks noChangeAspect="1" noChangeArrowheads="1"/>
                    </pic:cNvPicPr>
                  </pic:nvPicPr>
                  <pic:blipFill>
                    <a:blip r:embed="rId4"/>
                    <a:srcRect/>
                    <a:stretch>
                      <a:fillRect/>
                    </a:stretch>
                  </pic:blipFill>
                  <pic:spPr bwMode="auto">
                    <a:xfrm>
                      <a:off x="0" y="0"/>
                      <a:ext cx="3847693" cy="2875120"/>
                    </a:xfrm>
                    <a:prstGeom prst="rect">
                      <a:avLst/>
                    </a:prstGeom>
                    <a:noFill/>
                    <a:ln w="9525">
                      <a:noFill/>
                      <a:miter lim="800000"/>
                      <a:headEnd/>
                      <a:tailEnd/>
                    </a:ln>
                  </pic:spPr>
                </pic:pic>
              </a:graphicData>
            </a:graphic>
          </wp:inline>
        </w:drawing>
      </w:r>
    </w:p>
    <w:p w:rsidR="009F1F31" w:rsidRDefault="009F1F31" w:rsidP="009F1F31">
      <w:pPr>
        <w:pStyle w:val="Caption"/>
        <w:rPr>
          <w:noProof/>
        </w:rPr>
      </w:pPr>
      <w:r>
        <w:t xml:space="preserve">Figure </w:t>
      </w:r>
      <w:fldSimple w:instr=" SEQ Figure \* ARABIC ">
        <w:r>
          <w:rPr>
            <w:noProof/>
          </w:rPr>
          <w:t>1</w:t>
        </w:r>
      </w:fldSimple>
      <w:r>
        <w:t xml:space="preserve"> Blanding's Turtle, (New York State, Dept. f Environmental Conservation photo</w:t>
      </w:r>
    </w:p>
    <w:p w:rsidR="009F1F31" w:rsidRDefault="009F1F31" w:rsidP="009F1F31">
      <w:pPr>
        <w:pStyle w:val="NoSpacing"/>
        <w:rPr>
          <w:noProof/>
        </w:rPr>
      </w:pPr>
    </w:p>
    <w:p w:rsidR="009F1F31" w:rsidRDefault="009F1F31" w:rsidP="009F1F31">
      <w:pPr>
        <w:pStyle w:val="NoSpacing"/>
        <w:rPr>
          <w:rFonts w:ascii="Arial" w:hAnsi="Arial" w:cs="Arial"/>
          <w:sz w:val="20"/>
          <w:szCs w:val="20"/>
          <w:lang w:val="en-CA"/>
        </w:rPr>
      </w:pPr>
      <w:r w:rsidRPr="00042A38">
        <w:rPr>
          <w:rFonts w:ascii="Arial" w:hAnsi="Arial" w:cs="Arial"/>
          <w:sz w:val="20"/>
          <w:szCs w:val="20"/>
          <w:lang w:val="en-CA"/>
        </w:rPr>
        <w:t>Sugge</w:t>
      </w:r>
      <w:r>
        <w:rPr>
          <w:rFonts w:ascii="Arial" w:hAnsi="Arial" w:cs="Arial"/>
          <w:sz w:val="20"/>
          <w:szCs w:val="20"/>
          <w:lang w:val="en-CA"/>
        </w:rPr>
        <w:t>sted citation:  Kerr, S. J. 2022.  Results of the 2022</w:t>
      </w:r>
      <w:r w:rsidRPr="00042A38">
        <w:rPr>
          <w:rFonts w:ascii="Arial" w:hAnsi="Arial" w:cs="Arial"/>
          <w:sz w:val="20"/>
          <w:szCs w:val="20"/>
          <w:lang w:val="en-CA"/>
        </w:rPr>
        <w:t xml:space="preserve"> Turtle Tally on Jack Lake. </w:t>
      </w:r>
      <w:proofErr w:type="gramStart"/>
      <w:r w:rsidRPr="00042A38">
        <w:rPr>
          <w:rFonts w:ascii="Arial" w:hAnsi="Arial" w:cs="Arial"/>
          <w:sz w:val="20"/>
          <w:szCs w:val="20"/>
          <w:lang w:val="en-CA"/>
        </w:rPr>
        <w:t>Jack  Lake</w:t>
      </w:r>
      <w:proofErr w:type="gramEnd"/>
      <w:r w:rsidRPr="00042A38">
        <w:rPr>
          <w:rFonts w:ascii="Arial" w:hAnsi="Arial" w:cs="Arial"/>
          <w:sz w:val="20"/>
          <w:szCs w:val="20"/>
          <w:lang w:val="en-CA"/>
        </w:rPr>
        <w:t xml:space="preserve"> Association. Apsley, Ontario</w:t>
      </w:r>
      <w:r>
        <w:rPr>
          <w:rFonts w:ascii="Arial" w:hAnsi="Arial" w:cs="Arial"/>
          <w:sz w:val="20"/>
          <w:szCs w:val="20"/>
          <w:lang w:val="en-CA"/>
        </w:rPr>
        <w:t>. 3</w:t>
      </w:r>
      <w:r>
        <w:rPr>
          <w:rFonts w:ascii="Arial" w:hAnsi="Arial" w:cs="Arial"/>
          <w:sz w:val="20"/>
          <w:szCs w:val="20"/>
          <w:lang w:val="en-CA"/>
        </w:rPr>
        <w:t xml:space="preserve"> p. + appendices</w:t>
      </w:r>
    </w:p>
    <w:p w:rsidR="009F1F31" w:rsidRDefault="009F1F31" w:rsidP="009F1F31">
      <w:pPr>
        <w:pStyle w:val="NoSpacing"/>
        <w:rPr>
          <w:rFonts w:ascii="Arial Black" w:hAnsi="Arial Black" w:cs="Arial"/>
          <w:sz w:val="24"/>
          <w:szCs w:val="24"/>
          <w:lang w:val="en-CA"/>
        </w:rPr>
      </w:pPr>
    </w:p>
    <w:p w:rsidR="009F1F31" w:rsidRPr="009F1F31" w:rsidRDefault="009F1F31" w:rsidP="009F1F31">
      <w:pPr>
        <w:pStyle w:val="NoSpacing"/>
        <w:rPr>
          <w:rFonts w:ascii="Arial" w:hAnsi="Arial" w:cs="Arial"/>
          <w:sz w:val="20"/>
          <w:szCs w:val="20"/>
          <w:lang w:val="en-CA"/>
        </w:rPr>
      </w:pPr>
      <w:r>
        <w:rPr>
          <w:rFonts w:ascii="Arial Black" w:hAnsi="Arial Black" w:cs="Arial"/>
          <w:sz w:val="24"/>
          <w:szCs w:val="24"/>
          <w:lang w:val="en-CA"/>
        </w:rPr>
        <w:t>Introduction</w:t>
      </w:r>
    </w:p>
    <w:p w:rsidR="009F1F31" w:rsidRPr="008529B0" w:rsidRDefault="009F1F31" w:rsidP="009F1F31">
      <w:pPr>
        <w:pStyle w:val="NoSpacing"/>
        <w:rPr>
          <w:rFonts w:ascii="Arial" w:hAnsi="Arial" w:cs="Arial"/>
          <w:lang w:val="en-CA"/>
        </w:rPr>
      </w:pPr>
      <w:r>
        <w:rPr>
          <w:rFonts w:ascii="Arial" w:hAnsi="Arial" w:cs="Arial"/>
          <w:lang w:val="en-CA"/>
        </w:rPr>
        <w:t>The Jack Lake area is known to support six different species of turtles.  Members of the Jack Lake community have participated in the Ontario Turtle Tally since 2014 (see References).  This report has been prepared to summarize observations recorded during 2022.</w:t>
      </w:r>
    </w:p>
    <w:p w:rsidR="009F1F31" w:rsidRDefault="009F1F31" w:rsidP="009F1F31">
      <w:pPr>
        <w:pStyle w:val="NoSpacing"/>
        <w:rPr>
          <w:rFonts w:ascii="Arial Black" w:hAnsi="Arial Black" w:cs="Arial"/>
          <w:sz w:val="24"/>
          <w:szCs w:val="24"/>
          <w:lang w:val="en-CA"/>
        </w:rPr>
      </w:pPr>
    </w:p>
    <w:p w:rsidR="009F1F31" w:rsidRDefault="009F1F31" w:rsidP="009F1F31">
      <w:pPr>
        <w:pStyle w:val="NoSpacing"/>
        <w:rPr>
          <w:rFonts w:ascii="Arial Black" w:hAnsi="Arial Black" w:cs="Arial"/>
          <w:sz w:val="24"/>
          <w:szCs w:val="24"/>
          <w:lang w:val="en-CA"/>
        </w:rPr>
      </w:pPr>
      <w:r>
        <w:rPr>
          <w:rFonts w:ascii="Arial Black" w:hAnsi="Arial Black" w:cs="Arial"/>
          <w:sz w:val="24"/>
          <w:szCs w:val="24"/>
          <w:lang w:val="en-CA"/>
        </w:rPr>
        <w:t>2022</w:t>
      </w:r>
      <w:r w:rsidRPr="00070CE8">
        <w:rPr>
          <w:rFonts w:ascii="Arial Black" w:hAnsi="Arial Black" w:cs="Arial"/>
          <w:sz w:val="24"/>
          <w:szCs w:val="24"/>
          <w:lang w:val="en-CA"/>
        </w:rPr>
        <w:t xml:space="preserve"> Observations</w:t>
      </w:r>
    </w:p>
    <w:p w:rsidR="009F1F31" w:rsidRDefault="009F1F31" w:rsidP="009F1F31">
      <w:pPr>
        <w:pStyle w:val="NoSpacing"/>
        <w:rPr>
          <w:rFonts w:ascii="Arial" w:hAnsi="Arial" w:cs="Arial"/>
          <w:lang w:val="en-CA"/>
        </w:rPr>
      </w:pPr>
      <w:r>
        <w:rPr>
          <w:rFonts w:ascii="Arial" w:hAnsi="Arial" w:cs="Arial"/>
          <w:lang w:val="en-CA"/>
        </w:rPr>
        <w:t xml:space="preserve">Individual turtle </w:t>
      </w:r>
      <w:proofErr w:type="spellStart"/>
      <w:r>
        <w:rPr>
          <w:rFonts w:ascii="Arial" w:hAnsi="Arial" w:cs="Arial"/>
          <w:lang w:val="en-CA"/>
        </w:rPr>
        <w:t>sitings</w:t>
      </w:r>
      <w:proofErr w:type="spellEnd"/>
      <w:r>
        <w:rPr>
          <w:rFonts w:ascii="Arial" w:hAnsi="Arial" w:cs="Arial"/>
          <w:lang w:val="en-CA"/>
        </w:rPr>
        <w:t xml:space="preserve"> are listed in Appendix 1.  As in previous years, most turtle observations occurred during June when turtles were moving to search for nesting sites and lay their eggs (Table 1).</w:t>
      </w:r>
      <w:r w:rsidRPr="00EC197F">
        <w:rPr>
          <w:rFonts w:ascii="Arial" w:hAnsi="Arial" w:cs="Arial"/>
          <w:lang w:val="en-CA"/>
        </w:rPr>
        <w:t xml:space="preserve"> </w:t>
      </w:r>
      <w:r>
        <w:rPr>
          <w:rFonts w:ascii="Arial" w:hAnsi="Arial" w:cs="Arial"/>
          <w:lang w:val="en-CA"/>
        </w:rPr>
        <w:t xml:space="preserve"> In several instances, turtles were moved off the road.  In one instance (June 7), eggs were removed from </w:t>
      </w:r>
      <w:proofErr w:type="gramStart"/>
      <w:r>
        <w:rPr>
          <w:rFonts w:ascii="Arial" w:hAnsi="Arial" w:cs="Arial"/>
          <w:lang w:val="en-CA"/>
        </w:rPr>
        <w:t xml:space="preserve">a  </w:t>
      </w:r>
      <w:proofErr w:type="spellStart"/>
      <w:r>
        <w:rPr>
          <w:rFonts w:ascii="Arial" w:hAnsi="Arial" w:cs="Arial"/>
          <w:lang w:val="en-CA"/>
        </w:rPr>
        <w:t>Blandings</w:t>
      </w:r>
      <w:proofErr w:type="spellEnd"/>
      <w:proofErr w:type="gramEnd"/>
      <w:r>
        <w:rPr>
          <w:rFonts w:ascii="Arial" w:hAnsi="Arial" w:cs="Arial"/>
          <w:lang w:val="en-CA"/>
        </w:rPr>
        <w:t xml:space="preserve"> turtle, which had been killed on the road, and were taken to the Ontario Turtle Conservation Centre in Peterborough for incubation.</w:t>
      </w:r>
    </w:p>
    <w:p w:rsidR="009F1F31" w:rsidRDefault="009F1F31" w:rsidP="009F1F31">
      <w:pPr>
        <w:pStyle w:val="NoSpacing"/>
        <w:rPr>
          <w:rFonts w:ascii="Arial" w:hAnsi="Arial" w:cs="Arial"/>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Table 1. Temporal distribution of adult turtles observed during the 2022</w:t>
      </w:r>
      <w:r w:rsidRPr="00937858">
        <w:rPr>
          <w:rFonts w:ascii="Arial" w:hAnsi="Arial" w:cs="Arial"/>
          <w:sz w:val="20"/>
          <w:szCs w:val="20"/>
          <w:lang w:val="en-CA"/>
        </w:rPr>
        <w:t xml:space="preserve"> Turtle Tally on Jack Lake.</w:t>
      </w:r>
    </w:p>
    <w:p w:rsidR="009F1F31" w:rsidRDefault="009F1F31" w:rsidP="009F1F31">
      <w:pPr>
        <w:pStyle w:val="NoSpacing"/>
        <w:rPr>
          <w:rFonts w:ascii="Arial" w:hAnsi="Arial" w:cs="Arial"/>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
        <w:gridCol w:w="851"/>
        <w:gridCol w:w="709"/>
        <w:gridCol w:w="850"/>
        <w:gridCol w:w="992"/>
        <w:gridCol w:w="1250"/>
        <w:gridCol w:w="1499"/>
        <w:gridCol w:w="1499"/>
      </w:tblGrid>
      <w:tr w:rsidR="009F1F31" w:rsidRPr="00F85005" w:rsidTr="00BE6FF1">
        <w:tc>
          <w:tcPr>
            <w:tcW w:w="1668"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Species</w:t>
            </w:r>
          </w:p>
        </w:tc>
        <w:tc>
          <w:tcPr>
            <w:tcW w:w="708"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April</w:t>
            </w:r>
          </w:p>
        </w:tc>
        <w:tc>
          <w:tcPr>
            <w:tcW w:w="851"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May</w:t>
            </w:r>
          </w:p>
        </w:tc>
        <w:tc>
          <w:tcPr>
            <w:tcW w:w="709"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June</w:t>
            </w:r>
          </w:p>
        </w:tc>
        <w:tc>
          <w:tcPr>
            <w:tcW w:w="850"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July</w:t>
            </w:r>
          </w:p>
        </w:tc>
        <w:tc>
          <w:tcPr>
            <w:tcW w:w="992"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August</w:t>
            </w:r>
          </w:p>
        </w:tc>
        <w:tc>
          <w:tcPr>
            <w:tcW w:w="1250"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September</w:t>
            </w:r>
          </w:p>
        </w:tc>
        <w:tc>
          <w:tcPr>
            <w:tcW w:w="1499"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Pr>
                <w:rFonts w:ascii="Arial" w:hAnsi="Arial" w:cs="Arial"/>
                <w:b/>
                <w:sz w:val="20"/>
                <w:szCs w:val="20"/>
                <w:lang w:val="en-CA"/>
              </w:rPr>
              <w:t>October</w:t>
            </w:r>
          </w:p>
        </w:tc>
        <w:tc>
          <w:tcPr>
            <w:tcW w:w="1499" w:type="dxa"/>
            <w:tcBorders>
              <w:bottom w:val="single" w:sz="4" w:space="0" w:color="auto"/>
            </w:tcBorders>
          </w:tcPr>
          <w:p w:rsidR="009F1F31" w:rsidRPr="00F85005" w:rsidRDefault="009F1F31" w:rsidP="009F1F31">
            <w:pPr>
              <w:pStyle w:val="NoSpacing"/>
              <w:rPr>
                <w:rFonts w:ascii="Arial" w:hAnsi="Arial" w:cs="Arial"/>
                <w:b/>
                <w:sz w:val="20"/>
                <w:szCs w:val="20"/>
                <w:lang w:val="en-CA"/>
              </w:rPr>
            </w:pPr>
            <w:r w:rsidRPr="00F85005">
              <w:rPr>
                <w:rFonts w:ascii="Arial" w:hAnsi="Arial" w:cs="Arial"/>
                <w:b/>
                <w:sz w:val="20"/>
                <w:szCs w:val="20"/>
                <w:lang w:val="en-CA"/>
              </w:rPr>
              <w:t>Season Total</w:t>
            </w:r>
          </w:p>
        </w:tc>
      </w:tr>
      <w:tr w:rsidR="009F1F31" w:rsidTr="00BE6FF1">
        <w:tc>
          <w:tcPr>
            <w:tcW w:w="1668" w:type="dxa"/>
            <w:tcBorders>
              <w:top w:val="single" w:sz="4" w:space="0" w:color="auto"/>
            </w:tcBorders>
          </w:tcPr>
          <w:p w:rsidR="009F1F31" w:rsidRDefault="009F1F31" w:rsidP="009F1F31">
            <w:pPr>
              <w:pStyle w:val="NoSpacing"/>
              <w:rPr>
                <w:rFonts w:ascii="Arial" w:hAnsi="Arial" w:cs="Arial"/>
                <w:sz w:val="20"/>
                <w:szCs w:val="20"/>
                <w:lang w:val="en-CA"/>
              </w:rPr>
            </w:pPr>
            <w:proofErr w:type="spellStart"/>
            <w:r>
              <w:rPr>
                <w:rFonts w:ascii="Arial" w:hAnsi="Arial" w:cs="Arial"/>
                <w:sz w:val="20"/>
                <w:szCs w:val="20"/>
                <w:lang w:val="en-CA"/>
              </w:rPr>
              <w:t>Blandings</w:t>
            </w:r>
            <w:proofErr w:type="spellEnd"/>
          </w:p>
        </w:tc>
        <w:tc>
          <w:tcPr>
            <w:tcW w:w="708"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851"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709"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9</w:t>
            </w:r>
          </w:p>
        </w:tc>
        <w:tc>
          <w:tcPr>
            <w:tcW w:w="850"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92"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0"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9</w:t>
            </w:r>
          </w:p>
        </w:tc>
      </w:tr>
      <w:tr w:rsidR="009F1F31" w:rsidTr="00BE6FF1">
        <w:tc>
          <w:tcPr>
            <w:tcW w:w="1668"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Midland Painted</w:t>
            </w:r>
          </w:p>
        </w:tc>
        <w:tc>
          <w:tcPr>
            <w:tcW w:w="708"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851"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70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15</w:t>
            </w:r>
          </w:p>
        </w:tc>
        <w:tc>
          <w:tcPr>
            <w:tcW w:w="850"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992"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0"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16</w:t>
            </w:r>
          </w:p>
        </w:tc>
      </w:tr>
      <w:tr w:rsidR="009F1F31" w:rsidTr="00BE6FF1">
        <w:tc>
          <w:tcPr>
            <w:tcW w:w="1668"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Snapping</w:t>
            </w:r>
          </w:p>
        </w:tc>
        <w:tc>
          <w:tcPr>
            <w:tcW w:w="708"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851"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70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7</w:t>
            </w:r>
          </w:p>
        </w:tc>
        <w:tc>
          <w:tcPr>
            <w:tcW w:w="850"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92"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0"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8</w:t>
            </w:r>
          </w:p>
        </w:tc>
      </w:tr>
      <w:tr w:rsidR="009F1F31" w:rsidTr="00BE6FF1">
        <w:tc>
          <w:tcPr>
            <w:tcW w:w="1668"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Unidentified</w:t>
            </w:r>
          </w:p>
        </w:tc>
        <w:tc>
          <w:tcPr>
            <w:tcW w:w="708"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851"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709"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850"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92"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0"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w:t>
            </w:r>
          </w:p>
        </w:tc>
      </w:tr>
      <w:tr w:rsidR="009F1F31" w:rsidTr="00BE6FF1">
        <w:tc>
          <w:tcPr>
            <w:tcW w:w="1668"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Monthly Total</w:t>
            </w:r>
          </w:p>
        </w:tc>
        <w:tc>
          <w:tcPr>
            <w:tcW w:w="708"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851"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709"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32</w:t>
            </w:r>
          </w:p>
        </w:tc>
        <w:tc>
          <w:tcPr>
            <w:tcW w:w="850"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992"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0"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499"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34</w:t>
            </w:r>
          </w:p>
        </w:tc>
      </w:tr>
    </w:tbl>
    <w:p w:rsidR="009F1F31" w:rsidRDefault="009F1F31" w:rsidP="009F1F31">
      <w:pPr>
        <w:pStyle w:val="NoSpacing"/>
        <w:rPr>
          <w:rFonts w:ascii="Arial" w:hAnsi="Arial" w:cs="Arial"/>
          <w:lang w:val="en-CA"/>
        </w:rPr>
      </w:pPr>
    </w:p>
    <w:p w:rsidR="009F1F31" w:rsidRPr="00B36BAD" w:rsidRDefault="009F1F31" w:rsidP="009F1F31">
      <w:pPr>
        <w:pStyle w:val="NoSpacing"/>
        <w:rPr>
          <w:rFonts w:ascii="Arial" w:hAnsi="Arial" w:cs="Arial"/>
          <w:lang w:val="en-CA"/>
        </w:rPr>
      </w:pPr>
      <w:r w:rsidRPr="00B36BAD">
        <w:rPr>
          <w:rFonts w:ascii="Arial" w:hAnsi="Arial" w:cs="Arial"/>
          <w:lang w:val="en-CA"/>
        </w:rPr>
        <w:t xml:space="preserve">Only four </w:t>
      </w:r>
      <w:r>
        <w:rPr>
          <w:rFonts w:ascii="Arial" w:hAnsi="Arial" w:cs="Arial"/>
          <w:lang w:val="en-CA"/>
        </w:rPr>
        <w:t>turtle nesting activities were observed in 2022 (Table 2).</w:t>
      </w:r>
    </w:p>
    <w:p w:rsidR="009F1F31" w:rsidRPr="00B36BAD" w:rsidRDefault="009F1F31" w:rsidP="009F1F31">
      <w:pPr>
        <w:pStyle w:val="NoSpacing"/>
        <w:rPr>
          <w:rFonts w:ascii="Arial" w:hAnsi="Arial" w:cs="Arial"/>
          <w:lang w:val="en-CA"/>
        </w:rPr>
      </w:pPr>
    </w:p>
    <w:p w:rsidR="009F1F31" w:rsidRDefault="009F1F31" w:rsidP="009F1F31">
      <w:pPr>
        <w:pStyle w:val="NoSpacing"/>
        <w:rPr>
          <w:rFonts w:ascii="Arial" w:hAnsi="Arial" w:cs="Arial"/>
          <w:sz w:val="20"/>
          <w:szCs w:val="20"/>
          <w:lang w:val="en-CA"/>
        </w:rPr>
      </w:pPr>
      <w:r w:rsidRPr="00BF256A">
        <w:rPr>
          <w:rFonts w:ascii="Arial" w:hAnsi="Arial" w:cs="Arial"/>
          <w:sz w:val="20"/>
          <w:szCs w:val="20"/>
          <w:lang w:val="en-CA"/>
        </w:rPr>
        <w:t>Table 2.  Observed turtle nesti</w:t>
      </w:r>
      <w:r>
        <w:rPr>
          <w:rFonts w:ascii="Arial" w:hAnsi="Arial" w:cs="Arial"/>
          <w:sz w:val="20"/>
          <w:szCs w:val="20"/>
          <w:lang w:val="en-CA"/>
        </w:rPr>
        <w:t>ng activity observed during 2022</w:t>
      </w:r>
      <w:r w:rsidRPr="00BF256A">
        <w:rPr>
          <w:rFonts w:ascii="Arial" w:hAnsi="Arial" w:cs="Arial"/>
          <w:sz w:val="20"/>
          <w:szCs w:val="20"/>
          <w:lang w:val="en-CA"/>
        </w:rPr>
        <w:t xml:space="preserve"> in the Jack Lake area.</w:t>
      </w:r>
    </w:p>
    <w:p w:rsidR="009F1F31" w:rsidRDefault="009F1F31" w:rsidP="009F1F31">
      <w:pPr>
        <w:pStyle w:val="NoSpacing"/>
        <w:rPr>
          <w:rFonts w:ascii="Arial" w:hAnsi="Arial" w:cs="Arial"/>
          <w:sz w:val="20"/>
          <w:szCs w:val="20"/>
          <w:lang w:val="en-CA"/>
        </w:rPr>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2019"/>
        <w:gridCol w:w="2127"/>
      </w:tblGrid>
      <w:tr w:rsidR="009F1F31" w:rsidRPr="00BF256A" w:rsidTr="00BE6FF1">
        <w:tc>
          <w:tcPr>
            <w:tcW w:w="1524" w:type="dxa"/>
            <w:tcBorders>
              <w:bottom w:val="single" w:sz="4" w:space="0" w:color="auto"/>
            </w:tcBorders>
          </w:tcPr>
          <w:p w:rsidR="009F1F31" w:rsidRPr="00BF256A" w:rsidRDefault="009F1F31" w:rsidP="009F1F31">
            <w:pPr>
              <w:pStyle w:val="NoSpacing"/>
              <w:rPr>
                <w:rFonts w:ascii="Arial" w:hAnsi="Arial" w:cs="Arial"/>
                <w:b/>
                <w:sz w:val="20"/>
                <w:szCs w:val="20"/>
                <w:lang w:val="en-CA"/>
              </w:rPr>
            </w:pPr>
            <w:r w:rsidRPr="00BF256A">
              <w:rPr>
                <w:rFonts w:ascii="Arial" w:hAnsi="Arial" w:cs="Arial"/>
                <w:b/>
                <w:sz w:val="20"/>
                <w:szCs w:val="20"/>
                <w:lang w:val="en-CA"/>
              </w:rPr>
              <w:t>Date</w:t>
            </w:r>
          </w:p>
        </w:tc>
        <w:tc>
          <w:tcPr>
            <w:tcW w:w="2019" w:type="dxa"/>
            <w:tcBorders>
              <w:bottom w:val="single" w:sz="4" w:space="0" w:color="auto"/>
            </w:tcBorders>
          </w:tcPr>
          <w:p w:rsidR="009F1F31" w:rsidRPr="00BF256A" w:rsidRDefault="009F1F31" w:rsidP="009F1F31">
            <w:pPr>
              <w:pStyle w:val="NoSpacing"/>
              <w:rPr>
                <w:rFonts w:ascii="Arial" w:hAnsi="Arial" w:cs="Arial"/>
                <w:b/>
                <w:sz w:val="20"/>
                <w:szCs w:val="20"/>
                <w:lang w:val="en-CA"/>
              </w:rPr>
            </w:pPr>
            <w:r w:rsidRPr="00BF256A">
              <w:rPr>
                <w:rFonts w:ascii="Arial" w:hAnsi="Arial" w:cs="Arial"/>
                <w:b/>
                <w:sz w:val="20"/>
                <w:szCs w:val="20"/>
                <w:lang w:val="en-CA"/>
              </w:rPr>
              <w:t>Species</w:t>
            </w:r>
          </w:p>
        </w:tc>
        <w:tc>
          <w:tcPr>
            <w:tcW w:w="2127" w:type="dxa"/>
            <w:tcBorders>
              <w:bottom w:val="single" w:sz="4" w:space="0" w:color="auto"/>
            </w:tcBorders>
          </w:tcPr>
          <w:p w:rsidR="009F1F31" w:rsidRPr="00BF256A" w:rsidRDefault="009F1F31" w:rsidP="009F1F31">
            <w:pPr>
              <w:pStyle w:val="NoSpacing"/>
              <w:rPr>
                <w:rFonts w:ascii="Arial" w:hAnsi="Arial" w:cs="Arial"/>
                <w:b/>
                <w:sz w:val="20"/>
                <w:szCs w:val="20"/>
                <w:lang w:val="en-CA"/>
              </w:rPr>
            </w:pPr>
            <w:r w:rsidRPr="00BF256A">
              <w:rPr>
                <w:rFonts w:ascii="Arial" w:hAnsi="Arial" w:cs="Arial"/>
                <w:b/>
                <w:sz w:val="20"/>
                <w:szCs w:val="20"/>
                <w:lang w:val="en-CA"/>
              </w:rPr>
              <w:t>Activity observed</w:t>
            </w:r>
          </w:p>
        </w:tc>
      </w:tr>
      <w:tr w:rsidR="009F1F31" w:rsidTr="00BE6FF1">
        <w:tc>
          <w:tcPr>
            <w:tcW w:w="1524"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June 10</w:t>
            </w:r>
          </w:p>
        </w:tc>
        <w:tc>
          <w:tcPr>
            <w:tcW w:w="2019"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Blanding</w:t>
            </w:r>
            <w:r>
              <w:rPr>
                <w:rFonts w:ascii="Arial" w:hAnsi="Arial" w:cs="Arial"/>
                <w:sz w:val="20"/>
                <w:szCs w:val="20"/>
                <w:lang w:val="en-CA"/>
              </w:rPr>
              <w:t>’</w:t>
            </w:r>
            <w:r>
              <w:rPr>
                <w:rFonts w:ascii="Arial" w:hAnsi="Arial" w:cs="Arial"/>
                <w:sz w:val="20"/>
                <w:szCs w:val="20"/>
                <w:lang w:val="en-CA"/>
              </w:rPr>
              <w:t>s</w:t>
            </w:r>
          </w:p>
        </w:tc>
        <w:tc>
          <w:tcPr>
            <w:tcW w:w="2127"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Nest digging</w:t>
            </w:r>
          </w:p>
        </w:tc>
      </w:tr>
      <w:tr w:rsidR="009F1F31" w:rsidTr="00BE6FF1">
        <w:tc>
          <w:tcPr>
            <w:tcW w:w="1524"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June 10</w:t>
            </w:r>
          </w:p>
        </w:tc>
        <w:tc>
          <w:tcPr>
            <w:tcW w:w="201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Snapping</w:t>
            </w:r>
          </w:p>
        </w:tc>
        <w:tc>
          <w:tcPr>
            <w:tcW w:w="2127"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Nest digging</w:t>
            </w:r>
          </w:p>
        </w:tc>
      </w:tr>
      <w:tr w:rsidR="009F1F31" w:rsidTr="00BE6FF1">
        <w:trPr>
          <w:trHeight w:val="72"/>
        </w:trPr>
        <w:tc>
          <w:tcPr>
            <w:tcW w:w="1524"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June 17</w:t>
            </w:r>
          </w:p>
        </w:tc>
        <w:tc>
          <w:tcPr>
            <w:tcW w:w="2019"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Midland Painted</w:t>
            </w:r>
          </w:p>
        </w:tc>
        <w:tc>
          <w:tcPr>
            <w:tcW w:w="2127"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Egg laying</w:t>
            </w:r>
          </w:p>
        </w:tc>
      </w:tr>
      <w:tr w:rsidR="009F1F31" w:rsidTr="00BE6FF1">
        <w:trPr>
          <w:trHeight w:val="72"/>
        </w:trPr>
        <w:tc>
          <w:tcPr>
            <w:tcW w:w="1524"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July 1</w:t>
            </w:r>
          </w:p>
        </w:tc>
        <w:tc>
          <w:tcPr>
            <w:tcW w:w="2019"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Midland Painted</w:t>
            </w:r>
          </w:p>
        </w:tc>
        <w:tc>
          <w:tcPr>
            <w:tcW w:w="2127"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Egg laying</w:t>
            </w:r>
          </w:p>
        </w:tc>
      </w:tr>
    </w:tbl>
    <w:p w:rsidR="009F1F31" w:rsidRDefault="009F1F31" w:rsidP="009F1F31">
      <w:pPr>
        <w:pStyle w:val="NoSpacing"/>
        <w:rPr>
          <w:rFonts w:ascii="Arial" w:hAnsi="Arial" w:cs="Arial"/>
          <w:lang w:val="en-CA"/>
        </w:rPr>
      </w:pPr>
    </w:p>
    <w:p w:rsidR="009F1F31" w:rsidRPr="00CC4257" w:rsidRDefault="009F1F31" w:rsidP="009F1F31">
      <w:pPr>
        <w:pStyle w:val="NoSpacing"/>
        <w:rPr>
          <w:rFonts w:ascii="Arial" w:hAnsi="Arial" w:cs="Arial"/>
          <w:lang w:val="en-CA"/>
        </w:rPr>
      </w:pPr>
      <w:r>
        <w:rPr>
          <w:rFonts w:ascii="Arial" w:hAnsi="Arial" w:cs="Arial"/>
          <w:lang w:val="en-CA"/>
        </w:rPr>
        <w:t xml:space="preserve">For the first time, there were observations of young turtle hatchlings leaving their nest.  On the morning of September 5, at least thirty snapping turtle hatchlings were observed (and photographed) leaving their nest on the south shore of </w:t>
      </w:r>
      <w:proofErr w:type="spellStart"/>
      <w:r>
        <w:rPr>
          <w:rFonts w:ascii="Arial" w:hAnsi="Arial" w:cs="Arial"/>
          <w:lang w:val="en-CA"/>
        </w:rPr>
        <w:t>Sheeps</w:t>
      </w:r>
      <w:proofErr w:type="spellEnd"/>
      <w:r>
        <w:rPr>
          <w:rFonts w:ascii="Arial" w:hAnsi="Arial" w:cs="Arial"/>
          <w:lang w:val="en-CA"/>
        </w:rPr>
        <w:t xml:space="preserve"> Island and entering Jack Lake (Mary </w:t>
      </w:r>
      <w:proofErr w:type="spellStart"/>
      <w:r>
        <w:rPr>
          <w:rFonts w:ascii="Arial" w:hAnsi="Arial" w:cs="Arial"/>
          <w:lang w:val="en-CA"/>
        </w:rPr>
        <w:t>Derks</w:t>
      </w:r>
      <w:proofErr w:type="spellEnd"/>
      <w:r>
        <w:rPr>
          <w:rFonts w:ascii="Arial" w:hAnsi="Arial" w:cs="Arial"/>
          <w:lang w:val="en-CA"/>
        </w:rPr>
        <w:t>, pers. comm.)</w:t>
      </w:r>
    </w:p>
    <w:p w:rsidR="009F1F31" w:rsidRDefault="009F1F31" w:rsidP="009F1F31">
      <w:pPr>
        <w:pStyle w:val="NoSpacing"/>
        <w:rPr>
          <w:rFonts w:ascii="Arial" w:hAnsi="Arial" w:cs="Arial"/>
          <w:sz w:val="24"/>
          <w:szCs w:val="24"/>
          <w:lang w:val="en-CA"/>
        </w:rPr>
      </w:pPr>
    </w:p>
    <w:p w:rsidR="009F1F31" w:rsidRDefault="009F1F31" w:rsidP="009F1F31">
      <w:pPr>
        <w:pStyle w:val="NoSpacing"/>
        <w:rPr>
          <w:rFonts w:ascii="Arial Black" w:hAnsi="Arial Black" w:cs="Arial"/>
          <w:sz w:val="24"/>
          <w:szCs w:val="24"/>
          <w:lang w:val="en-CA"/>
        </w:rPr>
      </w:pPr>
    </w:p>
    <w:p w:rsidR="009F1F31" w:rsidRPr="004A105B" w:rsidRDefault="009F1F31" w:rsidP="009F1F31">
      <w:pPr>
        <w:pStyle w:val="NoSpacing"/>
        <w:rPr>
          <w:rFonts w:ascii="Arial Black" w:hAnsi="Arial Black" w:cs="Arial"/>
          <w:sz w:val="24"/>
          <w:szCs w:val="24"/>
          <w:lang w:val="en-CA"/>
        </w:rPr>
      </w:pPr>
      <w:r w:rsidRPr="004A105B">
        <w:rPr>
          <w:rFonts w:ascii="Arial Black" w:hAnsi="Arial Black" w:cs="Arial"/>
          <w:sz w:val="24"/>
          <w:szCs w:val="24"/>
          <w:lang w:val="en-CA"/>
        </w:rPr>
        <w:t>Comparisons with Earlier Surveys</w:t>
      </w:r>
    </w:p>
    <w:p w:rsidR="009F1F31" w:rsidRDefault="009F1F31" w:rsidP="009F1F31">
      <w:pPr>
        <w:pStyle w:val="NoSpacing"/>
        <w:rPr>
          <w:rFonts w:ascii="Arial" w:hAnsi="Arial" w:cs="Arial"/>
          <w:lang w:val="en-CA"/>
        </w:rPr>
      </w:pPr>
      <w:r>
        <w:rPr>
          <w:rFonts w:ascii="Arial" w:hAnsi="Arial" w:cs="Arial"/>
          <w:lang w:val="en-CA"/>
        </w:rPr>
        <w:t>Compared with recent years, there were fewer participants and turtle observations in 2022 (Table 3).</w:t>
      </w:r>
    </w:p>
    <w:p w:rsidR="009F1F31" w:rsidRDefault="009F1F31" w:rsidP="009F1F31">
      <w:pPr>
        <w:pStyle w:val="NoSpacing"/>
        <w:rPr>
          <w:rFonts w:ascii="Arial" w:hAnsi="Arial" w:cs="Arial"/>
          <w:lang w:val="en-CA"/>
        </w:rPr>
      </w:pPr>
    </w:p>
    <w:p w:rsidR="009F1F31" w:rsidRPr="00BA3CD9" w:rsidRDefault="009F1F31" w:rsidP="009F1F31">
      <w:pPr>
        <w:pStyle w:val="NoSpacing"/>
        <w:rPr>
          <w:rFonts w:ascii="Arial" w:hAnsi="Arial" w:cs="Arial"/>
          <w:sz w:val="20"/>
          <w:szCs w:val="20"/>
          <w:lang w:val="en-CA"/>
        </w:rPr>
      </w:pPr>
      <w:r w:rsidRPr="00BA3CD9">
        <w:rPr>
          <w:rFonts w:ascii="Arial" w:hAnsi="Arial" w:cs="Arial"/>
          <w:sz w:val="20"/>
          <w:szCs w:val="20"/>
          <w:lang w:val="en-CA"/>
        </w:rPr>
        <w:t>Table 3. A comparative summary of turtle observ</w:t>
      </w:r>
      <w:r>
        <w:rPr>
          <w:rFonts w:ascii="Arial" w:hAnsi="Arial" w:cs="Arial"/>
          <w:sz w:val="20"/>
          <w:szCs w:val="20"/>
          <w:lang w:val="en-CA"/>
        </w:rPr>
        <w:t>ations from Jack Lake, 2014-2022</w:t>
      </w:r>
      <w:r w:rsidRPr="00BA3CD9">
        <w:rPr>
          <w:rFonts w:ascii="Arial" w:hAnsi="Arial" w:cs="Arial"/>
          <w:sz w:val="20"/>
          <w:szCs w:val="20"/>
          <w:lang w:val="en-CA"/>
        </w:rPr>
        <w:t>.</w:t>
      </w:r>
    </w:p>
    <w:p w:rsidR="009F1F31" w:rsidRDefault="009F1F31" w:rsidP="009F1F31">
      <w:pPr>
        <w:pStyle w:val="NoSpacing"/>
        <w:rPr>
          <w:rFonts w:ascii="Arial" w:hAnsi="Arial" w:cs="Arial"/>
          <w:lang w:val="en-CA"/>
        </w:rPr>
      </w:pPr>
      <w:r>
        <w:rPr>
          <w:rFonts w:ascii="Arial" w:hAnsi="Arial" w:cs="Arial"/>
          <w:lang w:val="en-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294"/>
        <w:gridCol w:w="1137"/>
        <w:gridCol w:w="968"/>
        <w:gridCol w:w="984"/>
        <w:gridCol w:w="1048"/>
        <w:gridCol w:w="1096"/>
        <w:gridCol w:w="976"/>
        <w:gridCol w:w="1256"/>
      </w:tblGrid>
      <w:tr w:rsidR="009F1F31" w:rsidRPr="00294887" w:rsidTr="00BE6FF1">
        <w:tc>
          <w:tcPr>
            <w:tcW w:w="817" w:type="dxa"/>
            <w:tcBorders>
              <w:bottom w:val="single" w:sz="4" w:space="0" w:color="auto"/>
            </w:tcBorders>
          </w:tcPr>
          <w:p w:rsidR="009F1F31" w:rsidRPr="00294887" w:rsidRDefault="009F1F31" w:rsidP="009F1F31">
            <w:pPr>
              <w:pStyle w:val="NoSpacing"/>
              <w:rPr>
                <w:rFonts w:ascii="Arial" w:hAnsi="Arial" w:cs="Arial"/>
                <w:b/>
                <w:sz w:val="18"/>
                <w:szCs w:val="18"/>
                <w:lang w:val="en-CA"/>
              </w:rPr>
            </w:pP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Year</w:t>
            </w:r>
          </w:p>
        </w:tc>
        <w:tc>
          <w:tcPr>
            <w:tcW w:w="1294" w:type="dxa"/>
            <w:tcBorders>
              <w:bottom w:val="single" w:sz="4" w:space="0" w:color="auto"/>
            </w:tcBorders>
          </w:tcPr>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No. Participants</w:t>
            </w:r>
          </w:p>
        </w:tc>
        <w:tc>
          <w:tcPr>
            <w:tcW w:w="1137" w:type="dxa"/>
            <w:tcBorders>
              <w:bottom w:val="single" w:sz="4" w:space="0" w:color="auto"/>
            </w:tcBorders>
          </w:tcPr>
          <w:p w:rsidR="009F1F31" w:rsidRPr="00294887" w:rsidRDefault="009F1F31" w:rsidP="009F1F31">
            <w:pPr>
              <w:pStyle w:val="NoSpacing"/>
              <w:rPr>
                <w:rFonts w:ascii="Arial" w:hAnsi="Arial" w:cs="Arial"/>
                <w:b/>
                <w:sz w:val="18"/>
                <w:szCs w:val="18"/>
                <w:lang w:val="en-CA"/>
              </w:rPr>
            </w:pPr>
          </w:p>
          <w:p w:rsidR="009F1F31" w:rsidRPr="00294887" w:rsidRDefault="009F1F31" w:rsidP="009F1F31">
            <w:pPr>
              <w:pStyle w:val="NoSpacing"/>
              <w:rPr>
                <w:rFonts w:ascii="Arial" w:hAnsi="Arial" w:cs="Arial"/>
                <w:b/>
                <w:sz w:val="18"/>
                <w:szCs w:val="18"/>
                <w:lang w:val="en-CA"/>
              </w:rPr>
            </w:pPr>
            <w:proofErr w:type="spellStart"/>
            <w:r w:rsidRPr="00294887">
              <w:rPr>
                <w:rFonts w:ascii="Arial" w:hAnsi="Arial" w:cs="Arial"/>
                <w:b/>
                <w:sz w:val="18"/>
                <w:szCs w:val="18"/>
                <w:lang w:val="en-CA"/>
              </w:rPr>
              <w:t>Blandings</w:t>
            </w:r>
            <w:proofErr w:type="spellEnd"/>
          </w:p>
        </w:tc>
        <w:tc>
          <w:tcPr>
            <w:tcW w:w="968" w:type="dxa"/>
            <w:tcBorders>
              <w:bottom w:val="single" w:sz="4" w:space="0" w:color="auto"/>
            </w:tcBorders>
          </w:tcPr>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Eastern</w:t>
            </w: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Musk</w:t>
            </w:r>
          </w:p>
        </w:tc>
        <w:tc>
          <w:tcPr>
            <w:tcW w:w="984" w:type="dxa"/>
            <w:tcBorders>
              <w:bottom w:val="single" w:sz="4" w:space="0" w:color="auto"/>
            </w:tcBorders>
          </w:tcPr>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Midland</w:t>
            </w: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Painted</w:t>
            </w:r>
          </w:p>
        </w:tc>
        <w:tc>
          <w:tcPr>
            <w:tcW w:w="1048" w:type="dxa"/>
            <w:tcBorders>
              <w:bottom w:val="single" w:sz="4" w:space="0" w:color="auto"/>
            </w:tcBorders>
          </w:tcPr>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Northern</w:t>
            </w: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Map</w:t>
            </w:r>
          </w:p>
        </w:tc>
        <w:tc>
          <w:tcPr>
            <w:tcW w:w="1096" w:type="dxa"/>
            <w:tcBorders>
              <w:bottom w:val="single" w:sz="4" w:space="0" w:color="auto"/>
            </w:tcBorders>
          </w:tcPr>
          <w:p w:rsidR="009F1F31" w:rsidRPr="00294887" w:rsidRDefault="009F1F31" w:rsidP="009F1F31">
            <w:pPr>
              <w:pStyle w:val="NoSpacing"/>
              <w:rPr>
                <w:rFonts w:ascii="Arial" w:hAnsi="Arial" w:cs="Arial"/>
                <w:b/>
                <w:sz w:val="18"/>
                <w:szCs w:val="18"/>
                <w:lang w:val="en-CA"/>
              </w:rPr>
            </w:pP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Snapping</w:t>
            </w:r>
          </w:p>
        </w:tc>
        <w:tc>
          <w:tcPr>
            <w:tcW w:w="976" w:type="dxa"/>
            <w:tcBorders>
              <w:bottom w:val="single" w:sz="4" w:space="0" w:color="auto"/>
            </w:tcBorders>
          </w:tcPr>
          <w:p w:rsidR="009F1F31" w:rsidRPr="00294887" w:rsidRDefault="009F1F31" w:rsidP="009F1F31">
            <w:pPr>
              <w:pStyle w:val="NoSpacing"/>
              <w:rPr>
                <w:rFonts w:ascii="Arial" w:hAnsi="Arial" w:cs="Arial"/>
                <w:b/>
                <w:sz w:val="18"/>
                <w:szCs w:val="18"/>
                <w:lang w:val="en-CA"/>
              </w:rPr>
            </w:pP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Spotted</w:t>
            </w:r>
          </w:p>
        </w:tc>
        <w:tc>
          <w:tcPr>
            <w:tcW w:w="1256" w:type="dxa"/>
            <w:tcBorders>
              <w:bottom w:val="single" w:sz="4" w:space="0" w:color="auto"/>
            </w:tcBorders>
          </w:tcPr>
          <w:p w:rsidR="009F1F31" w:rsidRPr="00294887" w:rsidRDefault="009F1F31" w:rsidP="009F1F31">
            <w:pPr>
              <w:pStyle w:val="NoSpacing"/>
              <w:rPr>
                <w:rFonts w:ascii="Arial" w:hAnsi="Arial" w:cs="Arial"/>
                <w:b/>
                <w:sz w:val="18"/>
                <w:szCs w:val="18"/>
                <w:lang w:val="en-CA"/>
              </w:rPr>
            </w:pPr>
          </w:p>
          <w:p w:rsidR="009F1F31" w:rsidRPr="00294887" w:rsidRDefault="009F1F31" w:rsidP="009F1F31">
            <w:pPr>
              <w:pStyle w:val="NoSpacing"/>
              <w:rPr>
                <w:rFonts w:ascii="Arial" w:hAnsi="Arial" w:cs="Arial"/>
                <w:b/>
                <w:sz w:val="18"/>
                <w:szCs w:val="18"/>
                <w:lang w:val="en-CA"/>
              </w:rPr>
            </w:pPr>
            <w:r w:rsidRPr="00294887">
              <w:rPr>
                <w:rFonts w:ascii="Arial" w:hAnsi="Arial" w:cs="Arial"/>
                <w:b/>
                <w:sz w:val="18"/>
                <w:szCs w:val="18"/>
                <w:lang w:val="en-CA"/>
              </w:rPr>
              <w:t>Unidentified</w:t>
            </w:r>
          </w:p>
        </w:tc>
      </w:tr>
      <w:tr w:rsidR="009F1F31" w:rsidRPr="00D34D41" w:rsidTr="00BE6FF1">
        <w:tc>
          <w:tcPr>
            <w:tcW w:w="817"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2014</w:t>
            </w:r>
          </w:p>
        </w:tc>
        <w:tc>
          <w:tcPr>
            <w:tcW w:w="1294"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5</w:t>
            </w:r>
          </w:p>
        </w:tc>
        <w:tc>
          <w:tcPr>
            <w:tcW w:w="1137"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w:t>
            </w:r>
          </w:p>
        </w:tc>
        <w:tc>
          <w:tcPr>
            <w:tcW w:w="968"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32</w:t>
            </w:r>
          </w:p>
        </w:tc>
        <w:tc>
          <w:tcPr>
            <w:tcW w:w="1048"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096"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12</w:t>
            </w:r>
          </w:p>
        </w:tc>
        <w:tc>
          <w:tcPr>
            <w:tcW w:w="976" w:type="dxa"/>
            <w:tcBorders>
              <w:top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Borders>
              <w:top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2015</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6</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58</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2016</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17</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5</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14</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16</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2017</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31</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6</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60</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21</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2018</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33</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7</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43</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6</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34</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2019</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30</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11</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51</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4</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17</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2020</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20</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4</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48</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3</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13</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2021</w:t>
            </w:r>
          </w:p>
        </w:tc>
        <w:tc>
          <w:tcPr>
            <w:tcW w:w="129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40</w:t>
            </w:r>
          </w:p>
        </w:tc>
        <w:tc>
          <w:tcPr>
            <w:tcW w:w="1137"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6</w:t>
            </w:r>
          </w:p>
        </w:tc>
        <w:tc>
          <w:tcPr>
            <w:tcW w:w="96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64</w:t>
            </w:r>
          </w:p>
        </w:tc>
        <w:tc>
          <w:tcPr>
            <w:tcW w:w="1048"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09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22</w:t>
            </w:r>
          </w:p>
        </w:tc>
        <w:tc>
          <w:tcPr>
            <w:tcW w:w="976" w:type="dxa"/>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Pr>
          <w:p w:rsidR="009F1F31" w:rsidRDefault="009F1F31" w:rsidP="009F1F31">
            <w:pPr>
              <w:pStyle w:val="NoSpacing"/>
              <w:rPr>
                <w:rFonts w:ascii="Arial" w:hAnsi="Arial" w:cs="Arial"/>
                <w:sz w:val="20"/>
                <w:szCs w:val="20"/>
                <w:lang w:val="en-CA"/>
              </w:rPr>
            </w:pPr>
            <w:r>
              <w:rPr>
                <w:rFonts w:ascii="Arial" w:hAnsi="Arial" w:cs="Arial"/>
                <w:sz w:val="20"/>
                <w:szCs w:val="20"/>
                <w:lang w:val="en-CA"/>
              </w:rPr>
              <w:t>0</w:t>
            </w:r>
          </w:p>
        </w:tc>
      </w:tr>
      <w:tr w:rsidR="009F1F31" w:rsidRPr="00D34D41" w:rsidTr="00BE6FF1">
        <w:tc>
          <w:tcPr>
            <w:tcW w:w="817" w:type="dxa"/>
            <w:tcBorders>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2022</w:t>
            </w:r>
          </w:p>
        </w:tc>
        <w:tc>
          <w:tcPr>
            <w:tcW w:w="1294"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14</w:t>
            </w:r>
          </w:p>
        </w:tc>
        <w:tc>
          <w:tcPr>
            <w:tcW w:w="1137"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9</w:t>
            </w:r>
          </w:p>
        </w:tc>
        <w:tc>
          <w:tcPr>
            <w:tcW w:w="968"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984"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16</w:t>
            </w:r>
          </w:p>
        </w:tc>
        <w:tc>
          <w:tcPr>
            <w:tcW w:w="1048"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096"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8</w:t>
            </w:r>
          </w:p>
        </w:tc>
        <w:tc>
          <w:tcPr>
            <w:tcW w:w="976"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0</w:t>
            </w:r>
          </w:p>
        </w:tc>
        <w:tc>
          <w:tcPr>
            <w:tcW w:w="1256" w:type="dxa"/>
            <w:tcBorders>
              <w:bottom w:val="single" w:sz="4" w:space="0" w:color="auto"/>
            </w:tcBorders>
          </w:tcPr>
          <w:p w:rsidR="009F1F31" w:rsidRPr="00D34D41" w:rsidRDefault="009F1F31" w:rsidP="009F1F31">
            <w:pPr>
              <w:pStyle w:val="NoSpacing"/>
              <w:rPr>
                <w:rFonts w:ascii="Arial" w:hAnsi="Arial" w:cs="Arial"/>
                <w:sz w:val="20"/>
                <w:szCs w:val="20"/>
                <w:lang w:val="en-CA"/>
              </w:rPr>
            </w:pPr>
            <w:r>
              <w:rPr>
                <w:rFonts w:ascii="Arial" w:hAnsi="Arial" w:cs="Arial"/>
                <w:sz w:val="20"/>
                <w:szCs w:val="20"/>
                <w:lang w:val="en-CA"/>
              </w:rPr>
              <w:t>1</w:t>
            </w:r>
          </w:p>
        </w:tc>
      </w:tr>
      <w:tr w:rsidR="009F1F31" w:rsidRPr="00D34D41" w:rsidTr="00BE6FF1">
        <w:tc>
          <w:tcPr>
            <w:tcW w:w="817"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r>
              <w:rPr>
                <w:rFonts w:ascii="Arial" w:hAnsi="Arial" w:cs="Arial"/>
                <w:sz w:val="20"/>
                <w:szCs w:val="20"/>
                <w:lang w:val="en-CA"/>
              </w:rPr>
              <w:t>2014-2022</w:t>
            </w:r>
          </w:p>
          <w:p w:rsidR="009F1F31" w:rsidRDefault="009F1F31" w:rsidP="009F1F31">
            <w:pPr>
              <w:pStyle w:val="NoSpacing"/>
              <w:rPr>
                <w:rFonts w:ascii="Arial" w:hAnsi="Arial" w:cs="Arial"/>
                <w:sz w:val="20"/>
                <w:szCs w:val="20"/>
                <w:lang w:val="en-CA"/>
              </w:rPr>
            </w:pPr>
            <w:r>
              <w:rPr>
                <w:rFonts w:ascii="Arial" w:hAnsi="Arial" w:cs="Arial"/>
                <w:sz w:val="20"/>
                <w:szCs w:val="20"/>
                <w:lang w:val="en-CA"/>
              </w:rPr>
              <w:t>Mean</w:t>
            </w:r>
          </w:p>
        </w:tc>
        <w:tc>
          <w:tcPr>
            <w:tcW w:w="1294"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21.8</w:t>
            </w:r>
          </w:p>
        </w:tc>
        <w:tc>
          <w:tcPr>
            <w:tcW w:w="1137"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5.9</w:t>
            </w:r>
          </w:p>
        </w:tc>
        <w:tc>
          <w:tcPr>
            <w:tcW w:w="968"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0.2</w:t>
            </w:r>
          </w:p>
        </w:tc>
        <w:tc>
          <w:tcPr>
            <w:tcW w:w="984"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42.9</w:t>
            </w:r>
          </w:p>
        </w:tc>
        <w:tc>
          <w:tcPr>
            <w:tcW w:w="1048"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1.7</w:t>
            </w:r>
          </w:p>
        </w:tc>
        <w:tc>
          <w:tcPr>
            <w:tcW w:w="1096"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18.1</w:t>
            </w:r>
          </w:p>
        </w:tc>
        <w:tc>
          <w:tcPr>
            <w:tcW w:w="976"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0.1</w:t>
            </w:r>
          </w:p>
        </w:tc>
        <w:tc>
          <w:tcPr>
            <w:tcW w:w="1256" w:type="dxa"/>
            <w:tcBorders>
              <w:top w:val="single" w:sz="4" w:space="0" w:color="auto"/>
              <w:bottom w:val="single" w:sz="4" w:space="0" w:color="auto"/>
            </w:tcBorders>
          </w:tcPr>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0.1</w:t>
            </w:r>
          </w:p>
        </w:tc>
      </w:tr>
    </w:tbl>
    <w:p w:rsidR="009F1F31" w:rsidRDefault="009F1F31" w:rsidP="009F1F31">
      <w:pPr>
        <w:pStyle w:val="NoSpacing"/>
        <w:rPr>
          <w:rFonts w:ascii="Arial Black" w:hAnsi="Arial Black" w:cs="Arial"/>
          <w:sz w:val="24"/>
          <w:szCs w:val="24"/>
          <w:lang w:val="en-CA"/>
        </w:rPr>
      </w:pPr>
    </w:p>
    <w:p w:rsidR="009F1F31" w:rsidRPr="00070CE8" w:rsidRDefault="009F1F31" w:rsidP="009F1F31">
      <w:pPr>
        <w:pStyle w:val="NoSpacing"/>
        <w:rPr>
          <w:rFonts w:ascii="Arial Black" w:hAnsi="Arial Black" w:cs="Arial"/>
          <w:sz w:val="24"/>
          <w:szCs w:val="24"/>
          <w:lang w:val="en-CA"/>
        </w:rPr>
      </w:pPr>
      <w:r>
        <w:rPr>
          <w:rFonts w:ascii="Arial Black" w:hAnsi="Arial Black" w:cs="Arial"/>
          <w:sz w:val="24"/>
          <w:szCs w:val="24"/>
          <w:lang w:val="en-CA"/>
        </w:rPr>
        <w:t>Acknowledgements</w:t>
      </w:r>
    </w:p>
    <w:p w:rsidR="009F1F31" w:rsidRDefault="009F1F31" w:rsidP="009F1F31">
      <w:pPr>
        <w:pStyle w:val="NoSpacing"/>
        <w:rPr>
          <w:rFonts w:ascii="Arial" w:hAnsi="Arial" w:cs="Arial"/>
          <w:lang w:val="en-CA"/>
        </w:rPr>
      </w:pPr>
      <w:r>
        <w:rPr>
          <w:rFonts w:ascii="Arial" w:hAnsi="Arial" w:cs="Arial"/>
          <w:lang w:val="en-CA"/>
        </w:rPr>
        <w:t>Individuals who participated in the 2022 turtle tally included (listed alphabetically)</w:t>
      </w:r>
      <w:proofErr w:type="gramStart"/>
      <w:r>
        <w:rPr>
          <w:rFonts w:ascii="Arial" w:hAnsi="Arial" w:cs="Arial"/>
          <w:lang w:val="en-CA"/>
        </w:rPr>
        <w:t>:Heather</w:t>
      </w:r>
      <w:proofErr w:type="gramEnd"/>
      <w:r>
        <w:rPr>
          <w:rFonts w:ascii="Arial" w:hAnsi="Arial" w:cs="Arial"/>
          <w:lang w:val="en-CA"/>
        </w:rPr>
        <w:t xml:space="preserve"> Bee, Tim Cork, Ruth Davenport, Mary </w:t>
      </w:r>
      <w:proofErr w:type="spellStart"/>
      <w:r>
        <w:rPr>
          <w:rFonts w:ascii="Arial" w:hAnsi="Arial" w:cs="Arial"/>
          <w:lang w:val="en-CA"/>
        </w:rPr>
        <w:t>Derks</w:t>
      </w:r>
      <w:proofErr w:type="spellEnd"/>
      <w:r>
        <w:rPr>
          <w:rFonts w:ascii="Arial" w:hAnsi="Arial" w:cs="Arial"/>
          <w:lang w:val="en-CA"/>
        </w:rPr>
        <w:t xml:space="preserve">, Alex </w:t>
      </w:r>
      <w:proofErr w:type="spellStart"/>
      <w:r>
        <w:rPr>
          <w:rFonts w:ascii="Arial" w:hAnsi="Arial" w:cs="Arial"/>
          <w:lang w:val="en-CA"/>
        </w:rPr>
        <w:t>Kostiw</w:t>
      </w:r>
      <w:proofErr w:type="spellEnd"/>
      <w:r>
        <w:rPr>
          <w:rFonts w:ascii="Arial" w:hAnsi="Arial" w:cs="Arial"/>
          <w:lang w:val="en-CA"/>
        </w:rPr>
        <w:t xml:space="preserve">, Elizabeth </w:t>
      </w:r>
      <w:proofErr w:type="spellStart"/>
      <w:r>
        <w:rPr>
          <w:rFonts w:ascii="Arial" w:hAnsi="Arial" w:cs="Arial"/>
          <w:lang w:val="en-CA"/>
        </w:rPr>
        <w:t>Kroeker</w:t>
      </w:r>
      <w:proofErr w:type="spellEnd"/>
      <w:r>
        <w:rPr>
          <w:rFonts w:ascii="Arial" w:hAnsi="Arial" w:cs="Arial"/>
          <w:lang w:val="en-CA"/>
        </w:rPr>
        <w:t xml:space="preserve">, David Lean, Colleen Louise, </w:t>
      </w:r>
      <w:proofErr w:type="spellStart"/>
      <w:r>
        <w:rPr>
          <w:rFonts w:ascii="Arial" w:hAnsi="Arial" w:cs="Arial"/>
          <w:lang w:val="en-CA"/>
        </w:rPr>
        <w:t>Marlo</w:t>
      </w:r>
      <w:proofErr w:type="spellEnd"/>
      <w:r>
        <w:rPr>
          <w:rFonts w:ascii="Arial" w:hAnsi="Arial" w:cs="Arial"/>
          <w:lang w:val="en-CA"/>
        </w:rPr>
        <w:t xml:space="preserve"> Loeb </w:t>
      </w:r>
      <w:proofErr w:type="spellStart"/>
      <w:r>
        <w:rPr>
          <w:rFonts w:ascii="Arial" w:hAnsi="Arial" w:cs="Arial"/>
          <w:lang w:val="en-CA"/>
        </w:rPr>
        <w:t>McQuaker</w:t>
      </w:r>
      <w:proofErr w:type="spellEnd"/>
      <w:r>
        <w:rPr>
          <w:rFonts w:ascii="Arial" w:hAnsi="Arial" w:cs="Arial"/>
          <w:lang w:val="en-CA"/>
        </w:rPr>
        <w:t xml:space="preserve">,  Marni </w:t>
      </w:r>
      <w:proofErr w:type="spellStart"/>
      <w:r>
        <w:rPr>
          <w:rFonts w:ascii="Arial" w:hAnsi="Arial" w:cs="Arial"/>
          <w:lang w:val="en-CA"/>
        </w:rPr>
        <w:t>McQuillan</w:t>
      </w:r>
      <w:proofErr w:type="spellEnd"/>
      <w:r>
        <w:rPr>
          <w:rFonts w:ascii="Arial" w:hAnsi="Arial" w:cs="Arial"/>
          <w:lang w:val="en-CA"/>
        </w:rPr>
        <w:t xml:space="preserve">, Michael </w:t>
      </w:r>
      <w:proofErr w:type="spellStart"/>
      <w:r>
        <w:rPr>
          <w:rFonts w:ascii="Arial" w:hAnsi="Arial" w:cs="Arial"/>
          <w:lang w:val="en-CA"/>
        </w:rPr>
        <w:t>Mastroianni</w:t>
      </w:r>
      <w:proofErr w:type="spellEnd"/>
      <w:r>
        <w:rPr>
          <w:rFonts w:ascii="Arial" w:hAnsi="Arial" w:cs="Arial"/>
          <w:lang w:val="en-CA"/>
        </w:rPr>
        <w:t xml:space="preserve">, Pat Phillips, Tina Porter and Alan Quarry. </w:t>
      </w:r>
    </w:p>
    <w:p w:rsidR="009F1F31" w:rsidRDefault="009F1F31" w:rsidP="009F1F31">
      <w:pPr>
        <w:pStyle w:val="NoSpacing"/>
        <w:rPr>
          <w:rFonts w:ascii="Arial" w:hAnsi="Arial" w:cs="Arial"/>
          <w:lang w:val="en-CA"/>
        </w:rPr>
      </w:pPr>
    </w:p>
    <w:p w:rsidR="009F1F31" w:rsidRDefault="009F1F31" w:rsidP="009F1F31">
      <w:pPr>
        <w:pStyle w:val="NoSpacing"/>
        <w:rPr>
          <w:rFonts w:ascii="Arial" w:hAnsi="Arial" w:cs="Arial"/>
          <w:sz w:val="24"/>
          <w:szCs w:val="24"/>
          <w:lang w:val="en-CA"/>
        </w:rPr>
      </w:pPr>
      <w:r>
        <w:rPr>
          <w:rFonts w:ascii="Arial Black" w:hAnsi="Arial Black" w:cs="Arial"/>
          <w:sz w:val="24"/>
          <w:szCs w:val="24"/>
          <w:lang w:val="en-CA"/>
        </w:rPr>
        <w:t>References and Additional Reading</w:t>
      </w:r>
    </w:p>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Kerr, Steven J. 2016. Turtle observations from the Jack Lake watershed, 2014-2016. Jack Lake </w:t>
      </w:r>
      <w:r>
        <w:rPr>
          <w:rFonts w:ascii="Arial" w:hAnsi="Arial" w:cs="Arial"/>
          <w:sz w:val="20"/>
          <w:szCs w:val="20"/>
          <w:lang w:val="en-CA"/>
        </w:rPr>
        <w:tab/>
        <w:t xml:space="preserve"> </w:t>
      </w:r>
      <w:r>
        <w:rPr>
          <w:rFonts w:ascii="Arial" w:hAnsi="Arial" w:cs="Arial"/>
          <w:sz w:val="20"/>
          <w:szCs w:val="20"/>
        </w:rPr>
        <w:tab/>
      </w:r>
      <w:r>
        <w:rPr>
          <w:rFonts w:ascii="Arial" w:hAnsi="Arial" w:cs="Arial"/>
          <w:sz w:val="20"/>
          <w:szCs w:val="20"/>
          <w:lang w:val="en-CA"/>
        </w:rPr>
        <w:t>Association. Apsley, Ontario. 2 p. + appendices.</w:t>
      </w: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Kerr, Steven J. 2017. 2017 turtle observations in the Jack Lake watershed. Jack Lake Association. </w:t>
      </w:r>
      <w:r>
        <w:rPr>
          <w:rFonts w:ascii="Arial" w:hAnsi="Arial" w:cs="Arial"/>
          <w:sz w:val="20"/>
          <w:szCs w:val="20"/>
          <w:lang w:val="en-CA"/>
        </w:rPr>
        <w:tab/>
        <w:t>Apsley, Ontario. 4 p. + appendices.</w:t>
      </w: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Kerr, Steven J. 2018. 2018 turtle observations from the Jack Lake watershed. Jack Lake Association. </w:t>
      </w:r>
      <w:r>
        <w:rPr>
          <w:rFonts w:ascii="Arial" w:hAnsi="Arial" w:cs="Arial"/>
          <w:sz w:val="20"/>
          <w:szCs w:val="20"/>
          <w:lang w:val="en-CA"/>
        </w:rPr>
        <w:tab/>
      </w:r>
      <w:r>
        <w:rPr>
          <w:rFonts w:ascii="Arial" w:hAnsi="Arial" w:cs="Arial"/>
          <w:sz w:val="20"/>
          <w:szCs w:val="20"/>
          <w:lang w:val="en-CA"/>
        </w:rPr>
        <w:tab/>
        <w:t>Apsley, Ontario. 3 p. + appendices.</w:t>
      </w:r>
    </w:p>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lastRenderedPageBreak/>
        <w:t>Kerr, Steven J. 2019. 2019 turtle observations from the Jack Lake area. Jack Lake Association. Apsley,</w:t>
      </w:r>
      <w:r>
        <w:rPr>
          <w:rFonts w:ascii="Arial" w:hAnsi="Arial" w:cs="Arial"/>
          <w:sz w:val="20"/>
          <w:szCs w:val="20"/>
          <w:lang w:val="en-CA"/>
        </w:rPr>
        <w:tab/>
      </w:r>
      <w:r>
        <w:rPr>
          <w:rFonts w:ascii="Arial" w:hAnsi="Arial" w:cs="Arial"/>
          <w:sz w:val="20"/>
          <w:szCs w:val="20"/>
          <w:lang w:val="en-CA"/>
        </w:rPr>
        <w:tab/>
        <w:t xml:space="preserve"> Ontario. 3 p. + appendices.</w:t>
      </w:r>
    </w:p>
    <w:p w:rsidR="009F1F31" w:rsidRDefault="009F1F31" w:rsidP="009F1F31">
      <w:pPr>
        <w:pStyle w:val="NoSpacing"/>
        <w:rPr>
          <w:rFonts w:ascii="Arial" w:hAnsi="Arial" w:cs="Arial"/>
          <w:sz w:val="20"/>
          <w:szCs w:val="20"/>
          <w:lang w:val="en-CA"/>
        </w:rPr>
      </w:pPr>
      <w:r w:rsidRPr="004A105B">
        <w:rPr>
          <w:rFonts w:ascii="Arial" w:hAnsi="Arial" w:cs="Arial"/>
          <w:sz w:val="20"/>
          <w:szCs w:val="20"/>
          <w:lang w:val="en-CA"/>
        </w:rPr>
        <w:t>Kerr, Steven J. 2020.</w:t>
      </w:r>
      <w:r>
        <w:rPr>
          <w:rFonts w:ascii="Arial" w:hAnsi="Arial" w:cs="Arial"/>
          <w:sz w:val="20"/>
          <w:szCs w:val="20"/>
          <w:lang w:val="en-CA"/>
        </w:rPr>
        <w:t xml:space="preserve"> Results of the 2020 turtle tally on Jack Lake. Jack Lake Association. Apsley, </w:t>
      </w:r>
      <w:r>
        <w:rPr>
          <w:rFonts w:ascii="Arial" w:hAnsi="Arial" w:cs="Arial"/>
          <w:sz w:val="20"/>
          <w:szCs w:val="20"/>
          <w:lang w:val="en-CA"/>
        </w:rPr>
        <w:tab/>
        <w:t>Ontario.  4 p. + appendices.</w:t>
      </w: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Kerr, Steven J. 2021. Results of the 2021 turtle tally on Jack Lake. Jack Lake Association. Apsley, </w:t>
      </w:r>
      <w:r>
        <w:rPr>
          <w:rFonts w:ascii="Arial" w:hAnsi="Arial" w:cs="Arial"/>
          <w:sz w:val="20"/>
          <w:szCs w:val="20"/>
          <w:lang w:val="en-CA"/>
        </w:rPr>
        <w:tab/>
        <w:t>Ontario. 2 p. + appendices.</w:t>
      </w: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Ontario Turtle Conservation Centre. 2022. How to build a turtle nesting site on your property. </w:t>
      </w:r>
      <w:r>
        <w:rPr>
          <w:rFonts w:ascii="Arial" w:hAnsi="Arial" w:cs="Arial"/>
          <w:sz w:val="20"/>
          <w:szCs w:val="20"/>
          <w:lang w:val="en-CA"/>
        </w:rPr>
        <w:tab/>
        <w:t>Peterborough, Ontario.</w:t>
      </w:r>
    </w:p>
    <w:p w:rsidR="009F1F31" w:rsidRDefault="009F1F31" w:rsidP="009F1F31">
      <w:pPr>
        <w:pStyle w:val="NoSpacing"/>
        <w:rPr>
          <w:rFonts w:ascii="Arial" w:hAnsi="Arial" w:cs="Arial"/>
          <w:sz w:val="20"/>
          <w:szCs w:val="20"/>
          <w:lang w:val="en-CA"/>
        </w:rPr>
      </w:pP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Ontario Turtle Conservation Centre. 2022. Nest protection – Improving the odds for eggs and hatchlings. </w:t>
      </w:r>
      <w:r>
        <w:rPr>
          <w:rFonts w:ascii="Arial" w:hAnsi="Arial" w:cs="Arial"/>
          <w:sz w:val="20"/>
          <w:szCs w:val="20"/>
          <w:lang w:val="en-CA"/>
        </w:rPr>
        <w:tab/>
        <w:t xml:space="preserve">Peterborough, Ontario.  </w:t>
      </w:r>
    </w:p>
    <w:p w:rsidR="009F1F31" w:rsidRDefault="009F1F31" w:rsidP="009F1F31">
      <w:pPr>
        <w:pStyle w:val="NoSpacing"/>
        <w:rPr>
          <w:rFonts w:ascii="Arial" w:hAnsi="Arial" w:cs="Arial"/>
          <w:sz w:val="20"/>
          <w:szCs w:val="20"/>
          <w:lang w:val="en-CA"/>
        </w:rPr>
      </w:pPr>
      <w:r>
        <w:rPr>
          <w:rFonts w:ascii="Arial" w:hAnsi="Arial" w:cs="Arial"/>
          <w:sz w:val="20"/>
          <w:szCs w:val="20"/>
          <w:lang w:val="en-CA"/>
        </w:rPr>
        <w:t xml:space="preserve">Toronto Zoo. 2011. Turtles on your property – What to know and do. Adopt-a–Pond Wetland </w:t>
      </w:r>
      <w:r>
        <w:rPr>
          <w:rFonts w:ascii="Arial" w:hAnsi="Arial" w:cs="Arial"/>
          <w:sz w:val="20"/>
          <w:szCs w:val="20"/>
          <w:lang w:val="en-CA"/>
        </w:rPr>
        <w:tab/>
        <w:t>Conservation Programme. Toronto, Ontario. 11 p.</w:t>
      </w:r>
      <w:bookmarkStart w:id="0" w:name="_GoBack"/>
      <w:bookmarkEnd w:id="0"/>
    </w:p>
    <w:p w:rsidR="009F1F31" w:rsidRPr="004A105B" w:rsidRDefault="009F1F31" w:rsidP="009F1F31">
      <w:pPr>
        <w:pStyle w:val="NoSpacing"/>
        <w:rPr>
          <w:rFonts w:ascii="Arial" w:hAnsi="Arial" w:cs="Arial"/>
          <w:sz w:val="20"/>
          <w:szCs w:val="20"/>
          <w:lang w:val="en-CA"/>
        </w:rPr>
      </w:pPr>
      <w:r>
        <w:rPr>
          <w:rFonts w:ascii="Arial" w:hAnsi="Arial" w:cs="Arial"/>
          <w:sz w:val="20"/>
          <w:szCs w:val="20"/>
          <w:lang w:val="en-CA"/>
        </w:rPr>
        <w:t xml:space="preserve">Toronto Zoo. Undated. Ontario turtle tally. Adopt-a-Pond Wetland Conservation Programme. Toronto, </w:t>
      </w:r>
      <w:r>
        <w:rPr>
          <w:rFonts w:ascii="Arial" w:hAnsi="Arial" w:cs="Arial"/>
          <w:sz w:val="20"/>
          <w:szCs w:val="20"/>
          <w:lang w:val="en-CA"/>
        </w:rPr>
        <w:tab/>
        <w:t>Ontario.</w:t>
      </w:r>
    </w:p>
    <w:p w:rsidR="008C664F" w:rsidRDefault="008C664F"/>
    <w:sectPr w:rsidR="008C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1"/>
    <w:rsid w:val="008C664F"/>
    <w:rsid w:val="009F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30358-5ED7-4872-BAD8-D23D423E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F1F31"/>
    <w:pPr>
      <w:spacing w:after="0" w:line="240" w:lineRule="auto"/>
    </w:pPr>
  </w:style>
  <w:style w:type="paragraph" w:styleId="Caption">
    <w:name w:val="caption"/>
    <w:basedOn w:val="Normal"/>
    <w:next w:val="Normal"/>
    <w:uiPriority w:val="35"/>
    <w:unhideWhenUsed/>
    <w:qFormat/>
    <w:rsid w:val="009F1F31"/>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2022-11-01T21:10:00Z</dcterms:created>
  <dcterms:modified xsi:type="dcterms:W3CDTF">2022-11-01T21:15:00Z</dcterms:modified>
</cp:coreProperties>
</file>